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43DAF835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F91CB5">
        <w:rPr>
          <w:rFonts w:cstheme="minorHAnsi"/>
          <w:b/>
          <w:sz w:val="24"/>
          <w:szCs w:val="24"/>
        </w:rPr>
        <w:t>4</w:t>
      </w:r>
      <w:r w:rsidR="00720F47">
        <w:rPr>
          <w:rFonts w:cstheme="minorHAnsi"/>
          <w:b/>
          <w:sz w:val="24"/>
          <w:szCs w:val="24"/>
        </w:rPr>
        <w:t>/202</w:t>
      </w:r>
      <w:r w:rsidR="00396BAA">
        <w:rPr>
          <w:rFonts w:cstheme="minorHAnsi"/>
          <w:b/>
          <w:sz w:val="24"/>
          <w:szCs w:val="24"/>
        </w:rPr>
        <w:t>4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557C13D4" w14:textId="6F85E656" w:rsidR="00F91CB5" w:rsidRPr="00F91CB5" w:rsidRDefault="0057397C" w:rsidP="00F91CB5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D03556">
        <w:rPr>
          <w:rFonts w:cstheme="minorHAnsi"/>
          <w:sz w:val="24"/>
          <w:szCs w:val="24"/>
        </w:rPr>
        <w:t xml:space="preserve"> na</w:t>
      </w:r>
      <w:r w:rsidR="00577DB7">
        <w:rPr>
          <w:rFonts w:cstheme="minorHAnsi"/>
          <w:sz w:val="24"/>
          <w:szCs w:val="24"/>
        </w:rPr>
        <w:t xml:space="preserve"> </w:t>
      </w:r>
      <w:bookmarkStart w:id="2" w:name="_Hlk179824893"/>
      <w:r w:rsidR="00F91CB5" w:rsidRPr="00F91CB5">
        <w:rPr>
          <w:rFonts w:cstheme="minorHAnsi"/>
          <w:b/>
          <w:i/>
          <w:sz w:val="24"/>
          <w:szCs w:val="24"/>
          <w:u w:val="single"/>
        </w:rPr>
        <w:t>„Zakup i montaż systemu klimatyzacji w budynkach</w:t>
      </w:r>
      <w:r w:rsidR="00F91CB5">
        <w:rPr>
          <w:rFonts w:cstheme="minorHAnsi"/>
          <w:b/>
          <w:i/>
          <w:sz w:val="24"/>
          <w:szCs w:val="24"/>
          <w:u w:val="single"/>
        </w:rPr>
        <w:t xml:space="preserve"> </w:t>
      </w:r>
      <w:r w:rsidR="00F91CB5" w:rsidRPr="00F91CB5">
        <w:rPr>
          <w:rFonts w:cstheme="minorHAnsi"/>
          <w:b/>
          <w:i/>
          <w:sz w:val="24"/>
          <w:szCs w:val="24"/>
          <w:u w:val="single"/>
        </w:rPr>
        <w:t>Centrum Alzheimera”</w:t>
      </w:r>
    </w:p>
    <w:p w14:paraId="74FD68FD" w14:textId="5673EAF4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3" w:name="_Hlk76998243"/>
      <w:bookmarkEnd w:id="0"/>
      <w:bookmarkEnd w:id="2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F91CB5">
        <w:rPr>
          <w:rFonts w:cstheme="minorHAnsi"/>
          <w:b/>
          <w:bCs/>
          <w:sz w:val="24"/>
          <w:szCs w:val="24"/>
        </w:rPr>
        <w:t>4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396BAA">
        <w:rPr>
          <w:rFonts w:cstheme="minorHAnsi"/>
          <w:b/>
          <w:bCs/>
          <w:sz w:val="24"/>
          <w:szCs w:val="24"/>
        </w:rPr>
        <w:t>4</w:t>
      </w:r>
    </w:p>
    <w:bookmarkEnd w:id="1"/>
    <w:bookmarkEnd w:id="3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96BAA"/>
    <w:rsid w:val="003D2300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06558"/>
    <w:rsid w:val="00B671FC"/>
    <w:rsid w:val="00D03556"/>
    <w:rsid w:val="00E91CA2"/>
    <w:rsid w:val="00F27083"/>
    <w:rsid w:val="00F64C2F"/>
    <w:rsid w:val="00F735E8"/>
    <w:rsid w:val="00F91CB5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dcterms:created xsi:type="dcterms:W3CDTF">2024-10-16T10:01:00Z</dcterms:created>
  <dcterms:modified xsi:type="dcterms:W3CDTF">2024-10-16T10:01:00Z</dcterms:modified>
</cp:coreProperties>
</file>